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0F59" w14:textId="1EB4007E" w:rsidR="00050724" w:rsidRPr="00050724" w:rsidRDefault="00050724" w:rsidP="00050724">
      <w:pPr>
        <w:spacing w:after="100" w:afterAutospacing="1" w:line="240" w:lineRule="auto"/>
        <w:jc w:val="center"/>
        <w:rPr>
          <w:rFonts w:ascii="Arial" w:hAnsi="Arial" w:cs="Arial"/>
          <w:sz w:val="36"/>
          <w:szCs w:val="36"/>
        </w:rPr>
      </w:pPr>
      <w:r w:rsidRPr="00050724">
        <w:rPr>
          <w:rFonts w:ascii="Arial" w:hAnsi="Arial" w:cs="Arial"/>
          <w:sz w:val="36"/>
          <w:szCs w:val="36"/>
        </w:rPr>
        <w:t>Hellingly Parish Council</w:t>
      </w:r>
    </w:p>
    <w:p w14:paraId="0183EF76" w14:textId="77777777" w:rsidR="00050724" w:rsidRPr="00050724" w:rsidRDefault="00050724" w:rsidP="00050724">
      <w:pPr>
        <w:spacing w:after="100" w:afterAutospacing="1" w:line="240" w:lineRule="auto"/>
        <w:jc w:val="center"/>
        <w:rPr>
          <w:rFonts w:ascii="Arial" w:hAnsi="Arial" w:cs="Arial"/>
          <w:sz w:val="36"/>
          <w:szCs w:val="36"/>
        </w:rPr>
      </w:pPr>
    </w:p>
    <w:p w14:paraId="5F01766D" w14:textId="77777777" w:rsidR="00050724" w:rsidRPr="00050724" w:rsidRDefault="00050724" w:rsidP="00050724">
      <w:pPr>
        <w:spacing w:after="100" w:afterAutospacing="1" w:line="240" w:lineRule="auto"/>
        <w:jc w:val="center"/>
        <w:rPr>
          <w:rFonts w:ascii="Arial" w:hAnsi="Arial" w:cs="Arial"/>
          <w:sz w:val="36"/>
          <w:szCs w:val="36"/>
        </w:rPr>
      </w:pPr>
    </w:p>
    <w:p w14:paraId="041CE383" w14:textId="77777777" w:rsidR="00050724" w:rsidRPr="00050724" w:rsidRDefault="00050724" w:rsidP="00050724">
      <w:pPr>
        <w:spacing w:after="100" w:afterAutospacing="1" w:line="240" w:lineRule="auto"/>
        <w:jc w:val="center"/>
        <w:rPr>
          <w:rFonts w:ascii="Arial" w:hAnsi="Arial" w:cs="Arial"/>
          <w:sz w:val="36"/>
          <w:szCs w:val="36"/>
        </w:rPr>
      </w:pPr>
    </w:p>
    <w:p w14:paraId="2F15E9D0" w14:textId="77777777" w:rsidR="00050724" w:rsidRPr="00050724" w:rsidRDefault="00050724" w:rsidP="00050724">
      <w:pPr>
        <w:spacing w:after="100" w:afterAutospacing="1" w:line="240" w:lineRule="auto"/>
        <w:jc w:val="center"/>
        <w:rPr>
          <w:rFonts w:ascii="Arial" w:hAnsi="Arial" w:cs="Arial"/>
          <w:sz w:val="36"/>
          <w:szCs w:val="36"/>
        </w:rPr>
      </w:pPr>
    </w:p>
    <w:p w14:paraId="4632A046" w14:textId="58C78BBF" w:rsidR="00050724" w:rsidRPr="00050724" w:rsidRDefault="00050724" w:rsidP="00050724">
      <w:pPr>
        <w:spacing w:after="100" w:afterAutospacing="1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A04CFFF" wp14:editId="61B7871F">
            <wp:extent cx="2667005" cy="3529591"/>
            <wp:effectExtent l="0" t="0" r="0" b="0"/>
            <wp:docPr id="866382740" name="Picture 1" descr="A colorful shield with a bird and build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382740" name="Picture 1" descr="A colorful shield with a bird and building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5" cy="352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5438" w14:textId="77777777" w:rsidR="00050724" w:rsidRPr="00050724" w:rsidRDefault="00050724" w:rsidP="00050724">
      <w:pPr>
        <w:spacing w:after="100" w:afterAutospacing="1" w:line="240" w:lineRule="auto"/>
        <w:jc w:val="center"/>
        <w:rPr>
          <w:rFonts w:ascii="Arial" w:hAnsi="Arial" w:cs="Arial"/>
          <w:sz w:val="36"/>
          <w:szCs w:val="36"/>
        </w:rPr>
      </w:pPr>
    </w:p>
    <w:p w14:paraId="7CFBE644" w14:textId="7A83995E" w:rsidR="00050724" w:rsidRPr="00050724" w:rsidRDefault="00050724" w:rsidP="00050724">
      <w:pPr>
        <w:spacing w:after="100" w:afterAutospacing="1" w:line="240" w:lineRule="auto"/>
        <w:jc w:val="center"/>
        <w:rPr>
          <w:rFonts w:ascii="Arial" w:hAnsi="Arial" w:cs="Arial"/>
          <w:sz w:val="36"/>
          <w:szCs w:val="36"/>
        </w:rPr>
      </w:pPr>
      <w:r w:rsidRPr="00050724">
        <w:rPr>
          <w:rFonts w:ascii="Arial" w:hAnsi="Arial" w:cs="Arial"/>
          <w:sz w:val="36"/>
          <w:szCs w:val="36"/>
        </w:rPr>
        <w:t>Drone Policy</w:t>
      </w:r>
    </w:p>
    <w:p w14:paraId="7D291047" w14:textId="77777777" w:rsidR="00050724" w:rsidRPr="00050724" w:rsidRDefault="00050724" w:rsidP="00050724">
      <w:pPr>
        <w:spacing w:after="100" w:afterAutospacing="1" w:line="240" w:lineRule="auto"/>
        <w:jc w:val="center"/>
        <w:rPr>
          <w:rFonts w:ascii="Arial" w:hAnsi="Arial" w:cs="Arial"/>
          <w:sz w:val="36"/>
          <w:szCs w:val="36"/>
        </w:rPr>
      </w:pPr>
    </w:p>
    <w:p w14:paraId="78D568BA" w14:textId="77777777" w:rsid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10BEB9E2" w14:textId="77777777" w:rsid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5FE50D91" w14:textId="77777777" w:rsid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31A84C29" w14:textId="77777777" w:rsid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31CF8951" w14:textId="4B264817" w:rsidR="00050724" w:rsidRDefault="00DC7C81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Adopted </w:t>
      </w:r>
      <w:proofErr w:type="spellStart"/>
      <w:r>
        <w:rPr>
          <w:rFonts w:ascii="Arial" w:hAnsi="Arial" w:cs="Arial"/>
          <w:sz w:val="24"/>
          <w:szCs w:val="24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 xml:space="preserve"> 2023</w:t>
      </w:r>
    </w:p>
    <w:p w14:paraId="7AB09708" w14:textId="65914C3F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lastRenderedPageBreak/>
        <w:t xml:space="preserve">Hellingly Parish Council has introduced a Drone Policy in response to </w:t>
      </w:r>
      <w:r w:rsidR="00CB0613">
        <w:rPr>
          <w:rFonts w:ascii="Arial" w:hAnsi="Arial" w:cs="Arial"/>
          <w:sz w:val="24"/>
          <w:szCs w:val="24"/>
        </w:rPr>
        <w:t>the</w:t>
      </w:r>
      <w:r w:rsidRPr="000507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increased use </w:t>
      </w:r>
      <w:r w:rsidR="00A824FC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drones for business and recreation</w:t>
      </w:r>
      <w:r w:rsidR="00CB0613">
        <w:rPr>
          <w:rFonts w:ascii="Arial" w:hAnsi="Arial" w:cs="Arial"/>
          <w:sz w:val="24"/>
          <w:szCs w:val="24"/>
        </w:rPr>
        <w:t>al</w:t>
      </w:r>
      <w:r w:rsidR="00A824FC">
        <w:rPr>
          <w:rFonts w:ascii="Arial" w:hAnsi="Arial" w:cs="Arial"/>
          <w:sz w:val="24"/>
          <w:szCs w:val="24"/>
        </w:rPr>
        <w:t xml:space="preserve"> use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on council land including parks and public open spaces.</w:t>
      </w:r>
    </w:p>
    <w:p w14:paraId="7A5AEC7A" w14:textId="1BB5CAD3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Drones may not be flown from or above Parish Council land without permission granted by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Hellingly Parish Council. Permission will only be granted where usage of a drone device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 xml:space="preserve">aids risk reduction in the </w:t>
      </w:r>
      <w:proofErr w:type="gramStart"/>
      <w:r w:rsidRPr="00050724">
        <w:rPr>
          <w:rFonts w:ascii="Arial" w:hAnsi="Arial" w:cs="Arial"/>
          <w:sz w:val="24"/>
          <w:szCs w:val="24"/>
        </w:rPr>
        <w:t>work place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such as working at height, land and building survey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work or to undertake a professional service such as festivals &amp; events media.</w:t>
      </w:r>
    </w:p>
    <w:p w14:paraId="5F8E1D45" w14:textId="3BB6AD5A" w:rsidR="00050724" w:rsidRPr="00757873" w:rsidRDefault="00050724" w:rsidP="00050724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757873">
        <w:rPr>
          <w:rFonts w:ascii="Arial" w:hAnsi="Arial" w:cs="Arial"/>
          <w:b/>
          <w:bCs/>
          <w:sz w:val="24"/>
          <w:szCs w:val="24"/>
        </w:rPr>
        <w:t>Reasons behind our zero tolerance or permission policy for recreational or commercial requests.</w:t>
      </w:r>
    </w:p>
    <w:p w14:paraId="23C2B82F" w14:textId="7BBE3D71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Hellingly Parish Council granting permission could leave the local authority liable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for subsequent actions brought about by drone activity when operated from land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under our ownership.</w:t>
      </w:r>
    </w:p>
    <w:p w14:paraId="7F58D894" w14:textId="23EBC166" w:rsidR="00050724" w:rsidRPr="004F7006" w:rsidRDefault="00050724" w:rsidP="004F7006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4F7006">
        <w:rPr>
          <w:rFonts w:ascii="Arial" w:hAnsi="Arial" w:cs="Arial"/>
          <w:sz w:val="24"/>
          <w:szCs w:val="24"/>
        </w:rPr>
        <w:t>The close proximity of many of our sites to neighbouring residential and the</w:t>
      </w:r>
      <w:r w:rsidR="004F7006" w:rsidRPr="004F7006">
        <w:rPr>
          <w:rFonts w:ascii="Arial" w:hAnsi="Arial" w:cs="Arial"/>
          <w:sz w:val="24"/>
          <w:szCs w:val="24"/>
        </w:rPr>
        <w:t xml:space="preserve"> </w:t>
      </w:r>
      <w:r w:rsidRPr="004F7006">
        <w:rPr>
          <w:rFonts w:ascii="Arial" w:hAnsi="Arial" w:cs="Arial"/>
          <w:sz w:val="24"/>
          <w:szCs w:val="24"/>
        </w:rPr>
        <w:t>potential risk of causing alarm, distress or harassment to occupants.</w:t>
      </w:r>
    </w:p>
    <w:p w14:paraId="6AB048EF" w14:textId="60E5D30E" w:rsidR="00050724" w:rsidRPr="004F7006" w:rsidRDefault="00050724" w:rsidP="004F7006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4F7006">
        <w:rPr>
          <w:rFonts w:ascii="Arial" w:hAnsi="Arial" w:cs="Arial"/>
          <w:sz w:val="24"/>
          <w:szCs w:val="24"/>
        </w:rPr>
        <w:t>Potential risk of accident, injury to other site users or property as a result of user or drone error.</w:t>
      </w:r>
    </w:p>
    <w:p w14:paraId="591BD8D9" w14:textId="2E6F73AC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Exemptions will only be considered, where users are part of a formalised model aircraft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flying club that can demonstrate all health and safety and insurance measures are in place.</w:t>
      </w:r>
    </w:p>
    <w:p w14:paraId="655765BB" w14:textId="3E7D6A7F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A license agreement must be made with Hellingly  Parish Council and the formalised club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before site usage can be established.</w:t>
      </w:r>
    </w:p>
    <w:p w14:paraId="64E69E08" w14:textId="77777777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Types of Model aircraft, drones and other UAVs covered by this policy are:</w:t>
      </w:r>
    </w:p>
    <w:p w14:paraId="7E4996B5" w14:textId="76A32403" w:rsidR="00050724" w:rsidRPr="00D75C6B" w:rsidRDefault="00050724" w:rsidP="00D75C6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75C6B">
        <w:rPr>
          <w:rFonts w:ascii="Arial" w:hAnsi="Arial" w:cs="Arial"/>
          <w:sz w:val="24"/>
          <w:szCs w:val="24"/>
        </w:rPr>
        <w:t xml:space="preserve">Electric-powered, remote-controlled drones capable of vertical take-off and </w:t>
      </w:r>
      <w:proofErr w:type="gramStart"/>
      <w:r w:rsidRPr="00D75C6B">
        <w:rPr>
          <w:rFonts w:ascii="Arial" w:hAnsi="Arial" w:cs="Arial"/>
          <w:sz w:val="24"/>
          <w:szCs w:val="24"/>
        </w:rPr>
        <w:t>landing;</w:t>
      </w:r>
      <w:proofErr w:type="gramEnd"/>
    </w:p>
    <w:p w14:paraId="68279CFB" w14:textId="5E84EA50" w:rsidR="00050724" w:rsidRPr="00D75C6B" w:rsidRDefault="00050724" w:rsidP="00D75C6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75C6B">
        <w:rPr>
          <w:rFonts w:ascii="Arial" w:hAnsi="Arial" w:cs="Arial"/>
          <w:sz w:val="24"/>
          <w:szCs w:val="24"/>
        </w:rPr>
        <w:t xml:space="preserve">Remote-controlled fixed-wing model aircraft with a wingspan under two </w:t>
      </w:r>
      <w:proofErr w:type="gramStart"/>
      <w:r w:rsidRPr="00D75C6B">
        <w:rPr>
          <w:rFonts w:ascii="Arial" w:hAnsi="Arial" w:cs="Arial"/>
          <w:sz w:val="24"/>
          <w:szCs w:val="24"/>
        </w:rPr>
        <w:t>metres;</w:t>
      </w:r>
      <w:proofErr w:type="gramEnd"/>
    </w:p>
    <w:p w14:paraId="52BE3382" w14:textId="1369C150" w:rsidR="00050724" w:rsidRPr="00D75C6B" w:rsidRDefault="00050724" w:rsidP="00D75C6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75C6B">
        <w:rPr>
          <w:rFonts w:ascii="Arial" w:hAnsi="Arial" w:cs="Arial"/>
          <w:sz w:val="24"/>
          <w:szCs w:val="24"/>
        </w:rPr>
        <w:t>Electric fan jet-powered models, weighing less than 1.</w:t>
      </w:r>
      <w:proofErr w:type="gramStart"/>
      <w:r w:rsidRPr="00D75C6B">
        <w:rPr>
          <w:rFonts w:ascii="Arial" w:hAnsi="Arial" w:cs="Arial"/>
          <w:sz w:val="24"/>
          <w:szCs w:val="24"/>
        </w:rPr>
        <w:t>5kg;</w:t>
      </w:r>
      <w:proofErr w:type="gramEnd"/>
    </w:p>
    <w:p w14:paraId="65CAD266" w14:textId="6ED8AC21" w:rsidR="00050724" w:rsidRPr="00D75C6B" w:rsidRDefault="00050724" w:rsidP="00D75C6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75C6B">
        <w:rPr>
          <w:rFonts w:ascii="Arial" w:hAnsi="Arial" w:cs="Arial"/>
          <w:sz w:val="24"/>
          <w:szCs w:val="24"/>
        </w:rPr>
        <w:t>UAVs that don’t meet the above categories cannot be flown without express</w:t>
      </w:r>
    </w:p>
    <w:p w14:paraId="30F67A88" w14:textId="77777777" w:rsidR="00050724" w:rsidRPr="00D75C6B" w:rsidRDefault="00050724" w:rsidP="00D75C6B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75C6B">
        <w:rPr>
          <w:rFonts w:ascii="Arial" w:hAnsi="Arial" w:cs="Arial"/>
          <w:sz w:val="24"/>
          <w:szCs w:val="24"/>
        </w:rPr>
        <w:t>permission.</w:t>
      </w:r>
    </w:p>
    <w:p w14:paraId="3916EBDF" w14:textId="68514637" w:rsidR="00050724" w:rsidRPr="00050724" w:rsidRDefault="00F8431B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obtain agreement r</w:t>
      </w:r>
      <w:r w:rsidR="00050724" w:rsidRPr="00050724">
        <w:rPr>
          <w:rFonts w:ascii="Arial" w:hAnsi="Arial" w:cs="Arial"/>
          <w:sz w:val="24"/>
          <w:szCs w:val="24"/>
        </w:rPr>
        <w:t xml:space="preserve">equest </w:t>
      </w:r>
      <w:r>
        <w:rPr>
          <w:rFonts w:ascii="Arial" w:hAnsi="Arial" w:cs="Arial"/>
          <w:sz w:val="24"/>
          <w:szCs w:val="24"/>
        </w:rPr>
        <w:t>p</w:t>
      </w:r>
      <w:r w:rsidR="00050724" w:rsidRPr="00050724">
        <w:rPr>
          <w:rFonts w:ascii="Arial" w:hAnsi="Arial" w:cs="Arial"/>
          <w:sz w:val="24"/>
          <w:szCs w:val="24"/>
        </w:rPr>
        <w:t xml:space="preserve">ermission by sending an email to the Parish Clerk at </w:t>
      </w:r>
      <w:hyperlink r:id="rId9" w:history="1">
        <w:r w:rsidR="00050724" w:rsidRPr="003600B1">
          <w:rPr>
            <w:rStyle w:val="Hyperlink"/>
            <w:rFonts w:ascii="Arial" w:hAnsi="Arial" w:cs="Arial"/>
            <w:sz w:val="24"/>
            <w:szCs w:val="24"/>
          </w:rPr>
          <w:t>clerk@hellingly-pc.org.uk</w:t>
        </w:r>
      </w:hyperlink>
      <w:r w:rsidR="00050724">
        <w:rPr>
          <w:rFonts w:ascii="Arial" w:hAnsi="Arial" w:cs="Arial"/>
          <w:sz w:val="24"/>
          <w:szCs w:val="24"/>
        </w:rPr>
        <w:t xml:space="preserve"> </w:t>
      </w:r>
      <w:r w:rsidR="00050724" w:rsidRPr="00050724">
        <w:rPr>
          <w:rFonts w:ascii="Arial" w:hAnsi="Arial" w:cs="Arial"/>
          <w:sz w:val="24"/>
          <w:szCs w:val="24"/>
        </w:rPr>
        <w:t>providing the following:</w:t>
      </w:r>
    </w:p>
    <w:p w14:paraId="3F63A700" w14:textId="04501B82" w:rsidR="00050724" w:rsidRPr="00F8431B" w:rsidRDefault="00050724" w:rsidP="00F8431B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8431B">
        <w:rPr>
          <w:rFonts w:ascii="Arial" w:hAnsi="Arial" w:cs="Arial"/>
          <w:sz w:val="24"/>
          <w:szCs w:val="24"/>
        </w:rPr>
        <w:t>A description of the purpose of the flight(s)</w:t>
      </w:r>
    </w:p>
    <w:p w14:paraId="6D0A6E6F" w14:textId="687254B5" w:rsidR="00050724" w:rsidRPr="00F8431B" w:rsidRDefault="00050724" w:rsidP="00F8431B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8431B">
        <w:rPr>
          <w:rFonts w:ascii="Arial" w:hAnsi="Arial" w:cs="Arial"/>
          <w:sz w:val="24"/>
          <w:szCs w:val="24"/>
        </w:rPr>
        <w:t>A copy of your public liability insurance (minimum £5 million)</w:t>
      </w:r>
    </w:p>
    <w:p w14:paraId="443B8472" w14:textId="237800D4" w:rsidR="00050724" w:rsidRPr="00F8431B" w:rsidRDefault="00050724" w:rsidP="00F8431B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8431B">
        <w:rPr>
          <w:rFonts w:ascii="Arial" w:hAnsi="Arial" w:cs="Arial"/>
          <w:sz w:val="24"/>
          <w:szCs w:val="24"/>
        </w:rPr>
        <w:t>A copy of your flight plan including launch and landing points</w:t>
      </w:r>
    </w:p>
    <w:p w14:paraId="52EBF221" w14:textId="77777777" w:rsidR="00DB37C5" w:rsidRDefault="00050724" w:rsidP="00F8431B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F8431B">
        <w:rPr>
          <w:rFonts w:ascii="Arial" w:hAnsi="Arial" w:cs="Arial"/>
          <w:sz w:val="24"/>
          <w:szCs w:val="24"/>
        </w:rPr>
        <w:t xml:space="preserve">A copy of the risk assessment </w:t>
      </w:r>
    </w:p>
    <w:p w14:paraId="663FFF0A" w14:textId="1206E007" w:rsidR="00050724" w:rsidRPr="00DB37C5" w:rsidRDefault="00DB37C5" w:rsidP="00DB37C5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B37C5">
        <w:rPr>
          <w:rFonts w:ascii="Arial" w:hAnsi="Arial" w:cs="Arial"/>
          <w:sz w:val="24"/>
          <w:szCs w:val="24"/>
        </w:rPr>
        <w:t>U</w:t>
      </w:r>
      <w:r w:rsidR="00050724" w:rsidRPr="00DB37C5">
        <w:rPr>
          <w:rFonts w:ascii="Arial" w:hAnsi="Arial" w:cs="Arial"/>
          <w:sz w:val="24"/>
          <w:szCs w:val="24"/>
        </w:rPr>
        <w:t>pon receipt of these documents, consideration an</w:t>
      </w:r>
      <w:r w:rsidRPr="00DB37C5">
        <w:rPr>
          <w:rFonts w:ascii="Arial" w:hAnsi="Arial" w:cs="Arial"/>
          <w:sz w:val="24"/>
          <w:szCs w:val="24"/>
        </w:rPr>
        <w:t xml:space="preserve">d </w:t>
      </w:r>
      <w:r w:rsidR="00050724" w:rsidRPr="00DB37C5">
        <w:rPr>
          <w:rFonts w:ascii="Arial" w:hAnsi="Arial" w:cs="Arial"/>
          <w:sz w:val="24"/>
          <w:szCs w:val="24"/>
        </w:rPr>
        <w:t>approval / rejection will be given within 10 working days.</w:t>
      </w:r>
    </w:p>
    <w:p w14:paraId="0262B6F2" w14:textId="7BE8AD66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lastRenderedPageBreak/>
        <w:t>If person / persons are found to be using a drone device from Hellingly Parish Council land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without a letter of permission, they will be instructed to stop immediately. If the user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refuses to stop, the Police will be called to attend to cease activity and remove the user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from Hellingly Parish Council land.</w:t>
      </w:r>
    </w:p>
    <w:p w14:paraId="202AB6BE" w14:textId="217023D1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The Civil Aviation Authority (CAA) introduced new regulations (see below), that require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 xml:space="preserve">operators of </w:t>
      </w:r>
      <w:proofErr w:type="gramStart"/>
      <w:r w:rsidRPr="00050724">
        <w:rPr>
          <w:rFonts w:ascii="Arial" w:hAnsi="Arial" w:cs="Arial"/>
          <w:sz w:val="24"/>
          <w:szCs w:val="24"/>
        </w:rPr>
        <w:t>small unmanned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aircraft used for aerial work purposes and those equipped for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data acquisition and / or surveillance to obtain permission from the CAA before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commencing a flight within a congested area or in proximity to people or property.</w:t>
      </w:r>
    </w:p>
    <w:p w14:paraId="0F2001F7" w14:textId="3783F891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Essentially, the person controlling a small Unmanned Aircraft System (UAS) is fully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responsible for the safe operation of any flight, but it is important for the operator to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ascertain whether a permission (not a license) from the CAA is needed. You must request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permission from the CAA if you plan to:</w:t>
      </w:r>
    </w:p>
    <w:p w14:paraId="59F81FD2" w14:textId="7CE6DF16" w:rsidR="00050724" w:rsidRPr="00D0640A" w:rsidRDefault="00050724" w:rsidP="00D0640A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0640A">
        <w:rPr>
          <w:rFonts w:ascii="Arial" w:hAnsi="Arial" w:cs="Arial"/>
          <w:sz w:val="24"/>
          <w:szCs w:val="24"/>
        </w:rPr>
        <w:t xml:space="preserve">Fly the aircraft on a commercial basis (i.e. conducting “aerial work”) </w:t>
      </w:r>
      <w:proofErr w:type="gramStart"/>
      <w:r w:rsidRPr="00D0640A">
        <w:rPr>
          <w:rFonts w:ascii="Arial" w:hAnsi="Arial" w:cs="Arial"/>
          <w:sz w:val="24"/>
          <w:szCs w:val="24"/>
        </w:rPr>
        <w:t>OR;</w:t>
      </w:r>
      <w:proofErr w:type="gramEnd"/>
    </w:p>
    <w:p w14:paraId="0AB29811" w14:textId="234325A8" w:rsidR="00050724" w:rsidRPr="00D0640A" w:rsidRDefault="00050724" w:rsidP="00D0640A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0640A">
        <w:rPr>
          <w:rFonts w:ascii="Arial" w:hAnsi="Arial" w:cs="Arial"/>
          <w:sz w:val="24"/>
          <w:szCs w:val="24"/>
        </w:rPr>
        <w:t>Fly a camera / surveillance fitted aircraft within congested areas or closer (than the</w:t>
      </w:r>
      <w:r w:rsidR="00D0640A">
        <w:rPr>
          <w:rFonts w:ascii="Arial" w:hAnsi="Arial" w:cs="Arial"/>
          <w:sz w:val="24"/>
          <w:szCs w:val="24"/>
        </w:rPr>
        <w:t xml:space="preserve"> </w:t>
      </w:r>
      <w:r w:rsidRPr="00D0640A">
        <w:rPr>
          <w:rFonts w:ascii="Arial" w:hAnsi="Arial" w:cs="Arial"/>
          <w:sz w:val="24"/>
          <w:szCs w:val="24"/>
        </w:rPr>
        <w:t>distances listed within Article 167) to people or properties (vehicles; vessels o</w:t>
      </w:r>
      <w:r w:rsidR="00D0640A">
        <w:rPr>
          <w:rFonts w:ascii="Arial" w:hAnsi="Arial" w:cs="Arial"/>
          <w:sz w:val="24"/>
          <w:szCs w:val="24"/>
        </w:rPr>
        <w:t xml:space="preserve">r </w:t>
      </w:r>
      <w:r w:rsidRPr="00D0640A">
        <w:rPr>
          <w:rFonts w:ascii="Arial" w:hAnsi="Arial" w:cs="Arial"/>
          <w:sz w:val="24"/>
          <w:szCs w:val="24"/>
        </w:rPr>
        <w:t>structures) that are not under your control.</w:t>
      </w:r>
    </w:p>
    <w:p w14:paraId="47BA054C" w14:textId="77777777" w:rsidR="00D0640A" w:rsidRDefault="00D0640A" w:rsidP="00050724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</w:t>
      </w:r>
    </w:p>
    <w:p w14:paraId="7947BA1C" w14:textId="6E7066DE" w:rsidR="00050724" w:rsidRPr="00D0640A" w:rsidRDefault="00050724" w:rsidP="00050724">
      <w:pPr>
        <w:spacing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D0640A">
        <w:rPr>
          <w:rFonts w:ascii="Arial" w:hAnsi="Arial" w:cs="Arial"/>
          <w:b/>
          <w:bCs/>
          <w:sz w:val="24"/>
          <w:szCs w:val="24"/>
        </w:rPr>
        <w:t>CAA Policy CAP 3939 Air Navigation: The Order and Regulations</w:t>
      </w:r>
      <w:r w:rsidR="00D064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640A">
        <w:rPr>
          <w:rFonts w:ascii="Arial" w:hAnsi="Arial" w:cs="Arial"/>
          <w:b/>
          <w:bCs/>
          <w:sz w:val="24"/>
          <w:szCs w:val="24"/>
        </w:rPr>
        <w:t>Article 166 Small unmanned aircraft</w:t>
      </w:r>
    </w:p>
    <w:p w14:paraId="6F080409" w14:textId="25C2B11A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1) A person must not cause or permit any article or animal (whether or not attached to a parachute) to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 xml:space="preserve">be dropped from a </w:t>
      </w:r>
      <w:proofErr w:type="gramStart"/>
      <w:r w:rsidRPr="00050724">
        <w:rPr>
          <w:rFonts w:ascii="Arial" w:hAnsi="Arial" w:cs="Arial"/>
          <w:sz w:val="24"/>
          <w:szCs w:val="24"/>
        </w:rPr>
        <w:t>small unmanned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aircraft so as to endanger persons or property.</w:t>
      </w:r>
    </w:p>
    <w:p w14:paraId="24771088" w14:textId="59A1B146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 xml:space="preserve">2) The person in charge of a </w:t>
      </w:r>
      <w:proofErr w:type="gramStart"/>
      <w:r w:rsidRPr="00050724">
        <w:rPr>
          <w:rFonts w:ascii="Arial" w:hAnsi="Arial" w:cs="Arial"/>
          <w:sz w:val="24"/>
          <w:szCs w:val="24"/>
        </w:rPr>
        <w:t>small unmanned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aircraft may only fly the aircraft if reasonably satisfied that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the flight can safely be made.</w:t>
      </w:r>
    </w:p>
    <w:p w14:paraId="6C66F82F" w14:textId="0AD5789F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 xml:space="preserve">3) The person in charge of a </w:t>
      </w:r>
      <w:proofErr w:type="gramStart"/>
      <w:r w:rsidRPr="00050724">
        <w:rPr>
          <w:rFonts w:ascii="Arial" w:hAnsi="Arial" w:cs="Arial"/>
          <w:sz w:val="24"/>
          <w:szCs w:val="24"/>
        </w:rPr>
        <w:t>small unmanned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aircraft must maintain direct, unaided visual contact with</w:t>
      </w:r>
      <w:r w:rsidR="00D0640A"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the aircraft sufficient to monitor its flight path in relation to other aircraft, persons, vehicles, vessels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and structures for the purpose of avoiding collisions.</w:t>
      </w:r>
    </w:p>
    <w:p w14:paraId="0E0A28BF" w14:textId="4F70E5C5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 xml:space="preserve">4) The person in charge of a </w:t>
      </w:r>
      <w:proofErr w:type="gramStart"/>
      <w:r w:rsidRPr="00050724">
        <w:rPr>
          <w:rFonts w:ascii="Arial" w:hAnsi="Arial" w:cs="Arial"/>
          <w:sz w:val="24"/>
          <w:szCs w:val="24"/>
        </w:rPr>
        <w:t>small unmanned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aircraft which has a mass of more than 7kg excluding its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fuel but including any articles or equipment installed in or attached to the aircraft at the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commencement of its flight, must not fly the aircraft:</w:t>
      </w:r>
    </w:p>
    <w:p w14:paraId="776872C4" w14:textId="557B2C88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a. In Class A, C, D or E airspace unless the permission of the appropriate air traffic control unit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has been obtained.</w:t>
      </w:r>
    </w:p>
    <w:p w14:paraId="36A46A1A" w14:textId="3E534B68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b. Within an aerodrome traffic zone during the notified hours of watch of the air traffic control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unit (if any) at that aerodrome unless the permission of any such air traffic control unit has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 xml:space="preserve">been </w:t>
      </w:r>
      <w:proofErr w:type="gramStart"/>
      <w:r w:rsidRPr="00050724">
        <w:rPr>
          <w:rFonts w:ascii="Arial" w:hAnsi="Arial" w:cs="Arial"/>
          <w:sz w:val="24"/>
          <w:szCs w:val="24"/>
        </w:rPr>
        <w:t>obtained;</w:t>
      </w:r>
      <w:proofErr w:type="gramEnd"/>
    </w:p>
    <w:p w14:paraId="140CA8E0" w14:textId="77777777" w:rsid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lastRenderedPageBreak/>
        <w:t>c. At a height of more than 400 feet above the surface unless it is flying in airspace described in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 xml:space="preserve">sub-paragraph (a) or (b) and in accordance with the requirements for that airspace. </w:t>
      </w:r>
    </w:p>
    <w:p w14:paraId="18BD97D9" w14:textId="473AECD6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5. The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 xml:space="preserve">person in charge of a </w:t>
      </w:r>
      <w:proofErr w:type="gramStart"/>
      <w:r w:rsidRPr="00050724">
        <w:rPr>
          <w:rFonts w:ascii="Arial" w:hAnsi="Arial" w:cs="Arial"/>
          <w:sz w:val="24"/>
          <w:szCs w:val="24"/>
        </w:rPr>
        <w:t>small unmanned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aircraft must not fly the aircraft for the purposes of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aerial work except in accordance with a permission granted by the CAA. Page 6 of 6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Article 167 Small unmanned surveillance aircraft</w:t>
      </w:r>
    </w:p>
    <w:p w14:paraId="3ED09383" w14:textId="289BFC5E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 xml:space="preserve">1) The person in charge of a </w:t>
      </w:r>
      <w:proofErr w:type="gramStart"/>
      <w:r w:rsidRPr="00050724">
        <w:rPr>
          <w:rFonts w:ascii="Arial" w:hAnsi="Arial" w:cs="Arial"/>
          <w:sz w:val="24"/>
          <w:szCs w:val="24"/>
        </w:rPr>
        <w:t>small unmanned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surveillance aircraft must not fly the aircraft in any of the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circumstances described in paragraph (2) except in accordance with a permission issued by the CAA.</w:t>
      </w:r>
    </w:p>
    <w:p w14:paraId="62B7CC66" w14:textId="77777777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2) The circumstances referred to in paragraph (1) are:</w:t>
      </w:r>
    </w:p>
    <w:p w14:paraId="40294DA8" w14:textId="77777777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 xml:space="preserve">a. Over or within 150 metres of any congested </w:t>
      </w:r>
      <w:proofErr w:type="gramStart"/>
      <w:r w:rsidRPr="00050724">
        <w:rPr>
          <w:rFonts w:ascii="Arial" w:hAnsi="Arial" w:cs="Arial"/>
          <w:sz w:val="24"/>
          <w:szCs w:val="24"/>
        </w:rPr>
        <w:t>areas;</w:t>
      </w:r>
      <w:proofErr w:type="gramEnd"/>
    </w:p>
    <w:p w14:paraId="0B94EF64" w14:textId="77777777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 xml:space="preserve">b. Over or within 150 metres of an organised open-air assembly of more than 1,000 </w:t>
      </w:r>
      <w:proofErr w:type="gramStart"/>
      <w:r w:rsidRPr="00050724">
        <w:rPr>
          <w:rFonts w:ascii="Arial" w:hAnsi="Arial" w:cs="Arial"/>
          <w:sz w:val="24"/>
          <w:szCs w:val="24"/>
        </w:rPr>
        <w:t>persons;</w:t>
      </w:r>
      <w:proofErr w:type="gramEnd"/>
    </w:p>
    <w:p w14:paraId="6C971604" w14:textId="5487C4A7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c. Within 50 metres of any vessel, vehicle or structure which is not under the control of the</w:t>
      </w:r>
      <w:r w:rsidR="0051775A"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 xml:space="preserve">person in charge of the </w:t>
      </w:r>
      <w:proofErr w:type="gramStart"/>
      <w:r w:rsidRPr="00050724">
        <w:rPr>
          <w:rFonts w:ascii="Arial" w:hAnsi="Arial" w:cs="Arial"/>
          <w:sz w:val="24"/>
          <w:szCs w:val="24"/>
        </w:rPr>
        <w:t>aircraft;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OR</w:t>
      </w:r>
    </w:p>
    <w:p w14:paraId="7B34866B" w14:textId="77777777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d. Subject to paragraphs (3) and (4) within 50 metres of any person</w:t>
      </w:r>
    </w:p>
    <w:p w14:paraId="412E64E0" w14:textId="16D7E82A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 xml:space="preserve">3) Subject to paragraph (4), during take-off or landing, a </w:t>
      </w:r>
      <w:proofErr w:type="gramStart"/>
      <w:r w:rsidRPr="00050724">
        <w:rPr>
          <w:rFonts w:ascii="Arial" w:hAnsi="Arial" w:cs="Arial"/>
          <w:sz w:val="24"/>
          <w:szCs w:val="24"/>
        </w:rPr>
        <w:t>small unmanned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surveillance aircraft must not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be flown within 30 metres of any person.</w:t>
      </w:r>
    </w:p>
    <w:p w14:paraId="6559F214" w14:textId="0311698D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 xml:space="preserve">4) Paragraphs (2) (d) and (3) do not apply to the person in charge of the </w:t>
      </w:r>
      <w:proofErr w:type="gramStart"/>
      <w:r w:rsidRPr="00050724">
        <w:rPr>
          <w:rFonts w:ascii="Arial" w:hAnsi="Arial" w:cs="Arial"/>
          <w:sz w:val="24"/>
          <w:szCs w:val="24"/>
        </w:rPr>
        <w:t>small unmanned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surveillance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aircraft or a person under the control of the person in charge of the aircraft.</w:t>
      </w:r>
    </w:p>
    <w:p w14:paraId="53D8CE67" w14:textId="3339AD52" w:rsidR="00050724" w:rsidRPr="00050724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 xml:space="preserve">5) In this article “a </w:t>
      </w:r>
      <w:proofErr w:type="gramStart"/>
      <w:r w:rsidRPr="00050724">
        <w:rPr>
          <w:rFonts w:ascii="Arial" w:hAnsi="Arial" w:cs="Arial"/>
          <w:sz w:val="24"/>
          <w:szCs w:val="24"/>
        </w:rPr>
        <w:t>small unmanned</w:t>
      </w:r>
      <w:proofErr w:type="gramEnd"/>
      <w:r w:rsidRPr="00050724">
        <w:rPr>
          <w:rFonts w:ascii="Arial" w:hAnsi="Arial" w:cs="Arial"/>
          <w:sz w:val="24"/>
          <w:szCs w:val="24"/>
        </w:rPr>
        <w:t xml:space="preserve"> surveillance aircraft” means a small unmanned aircraft which is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equipped to undertake any form of surveillance or data acquisition.</w:t>
      </w:r>
    </w:p>
    <w:p w14:paraId="6DE29C58" w14:textId="7A59C214" w:rsidR="008200DE" w:rsidRDefault="00050724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050724">
        <w:rPr>
          <w:rFonts w:ascii="Arial" w:hAnsi="Arial" w:cs="Arial"/>
          <w:sz w:val="24"/>
          <w:szCs w:val="24"/>
        </w:rPr>
        <w:t>For a full copy of the CAA policy CAP 3939 Air Navigation: The Order and Regulations please visit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www.caa.co.uk alongside further information and guidance on operation, safety, formal permission request</w:t>
      </w:r>
      <w:r>
        <w:rPr>
          <w:rFonts w:ascii="Arial" w:hAnsi="Arial" w:cs="Arial"/>
          <w:sz w:val="24"/>
          <w:szCs w:val="24"/>
        </w:rPr>
        <w:t xml:space="preserve"> </w:t>
      </w:r>
      <w:r w:rsidRPr="00050724">
        <w:rPr>
          <w:rFonts w:ascii="Arial" w:hAnsi="Arial" w:cs="Arial"/>
          <w:sz w:val="24"/>
          <w:szCs w:val="24"/>
        </w:rPr>
        <w:t>etc.</w:t>
      </w:r>
    </w:p>
    <w:tbl>
      <w:tblPr>
        <w:tblW w:w="583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3006"/>
      </w:tblGrid>
      <w:tr w:rsidR="007A1917" w:rsidRPr="00CF49D1" w14:paraId="54E4AD0E" w14:textId="77777777" w:rsidTr="00F44367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C0F5" w14:textId="77777777" w:rsidR="007A1917" w:rsidRPr="00CF49D1" w:rsidRDefault="007A1917" w:rsidP="00F44367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9D1">
              <w:rPr>
                <w:rFonts w:ascii="Arial" w:hAnsi="Arial" w:cs="Arial"/>
                <w:b/>
                <w:bCs/>
                <w:sz w:val="20"/>
                <w:szCs w:val="20"/>
              </w:rPr>
              <w:t>Adopted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6E71" w14:textId="77777777" w:rsidR="007A1917" w:rsidRPr="00CF49D1" w:rsidRDefault="007A1917" w:rsidP="00F44367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F49D1">
              <w:rPr>
                <w:rFonts w:ascii="Arial" w:hAnsi="Arial" w:cs="Arial"/>
                <w:b/>
                <w:bCs/>
                <w:sz w:val="20"/>
                <w:szCs w:val="20"/>
              </w:rPr>
              <w:t>Next Review</w:t>
            </w:r>
          </w:p>
        </w:tc>
      </w:tr>
      <w:tr w:rsidR="007A1917" w:rsidRPr="00CF49D1" w14:paraId="28C085CC" w14:textId="77777777" w:rsidTr="00F44367">
        <w:trPr>
          <w:trHeight w:val="22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E147" w14:textId="77777777" w:rsidR="007A1917" w:rsidRPr="00CF49D1" w:rsidRDefault="007A1917" w:rsidP="00F44367">
            <w:pPr>
              <w:pStyle w:val="NoSpacing"/>
              <w:tabs>
                <w:tab w:val="right" w:pos="2614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4FEA" w14:textId="77777777" w:rsidR="007A1917" w:rsidRPr="00CF49D1" w:rsidRDefault="007A1917" w:rsidP="00F44367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917" w:rsidRPr="00CF49D1" w14:paraId="406C47C0" w14:textId="77777777" w:rsidTr="00F44367">
        <w:trPr>
          <w:trHeight w:val="299"/>
        </w:trPr>
        <w:tc>
          <w:tcPr>
            <w:tcW w:w="2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A904" w14:textId="77777777" w:rsidR="007A1917" w:rsidRPr="00CF49D1" w:rsidRDefault="007A1917" w:rsidP="00F44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EA5A" w14:textId="77777777" w:rsidR="007A1917" w:rsidRPr="00CF49D1" w:rsidRDefault="007A1917" w:rsidP="00F443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BC6DC" w14:textId="77777777" w:rsidR="007A1917" w:rsidRPr="00050724" w:rsidRDefault="007A1917" w:rsidP="00050724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7A1917" w:rsidRPr="0005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4118"/>
    <w:multiLevelType w:val="hybridMultilevel"/>
    <w:tmpl w:val="F01E4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BB6"/>
    <w:multiLevelType w:val="hybridMultilevel"/>
    <w:tmpl w:val="C9241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77CA"/>
    <w:multiLevelType w:val="hybridMultilevel"/>
    <w:tmpl w:val="A0243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2C76"/>
    <w:multiLevelType w:val="hybridMultilevel"/>
    <w:tmpl w:val="BFE0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7442">
    <w:abstractNumId w:val="2"/>
  </w:num>
  <w:num w:numId="2" w16cid:durableId="1506818140">
    <w:abstractNumId w:val="3"/>
  </w:num>
  <w:num w:numId="3" w16cid:durableId="1458334351">
    <w:abstractNumId w:val="0"/>
  </w:num>
  <w:num w:numId="4" w16cid:durableId="184859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24"/>
    <w:rsid w:val="00007B47"/>
    <w:rsid w:val="00050724"/>
    <w:rsid w:val="00397084"/>
    <w:rsid w:val="004F7006"/>
    <w:rsid w:val="0051775A"/>
    <w:rsid w:val="00757873"/>
    <w:rsid w:val="007A1917"/>
    <w:rsid w:val="008200DE"/>
    <w:rsid w:val="00A824FC"/>
    <w:rsid w:val="00CB0613"/>
    <w:rsid w:val="00D0640A"/>
    <w:rsid w:val="00D75C6B"/>
    <w:rsid w:val="00DB37C5"/>
    <w:rsid w:val="00DC7C81"/>
    <w:rsid w:val="00EA5542"/>
    <w:rsid w:val="00F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04F0"/>
  <w15:chartTrackingRefBased/>
  <w15:docId w15:val="{CEC4490F-2539-448B-9760-3D1DB1ED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72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191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4F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erk@hellingl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6" ma:contentTypeDescription="Create a new document." ma:contentTypeScope="" ma:versionID="827b4de667417e3b2f5e853ce6aa1ec7">
  <xsd:schema xmlns:xsd="http://www.w3.org/2001/XMLSchema" xmlns:xs="http://www.w3.org/2001/XMLSchema" xmlns:p="http://schemas.microsoft.com/office/2006/metadata/properties" xmlns:ns2="6b845243-c806-449b-a897-cb2235446891" xmlns:ns3="34405467-d593-4576-a76a-737b9fab2626" targetNamespace="http://schemas.microsoft.com/office/2006/metadata/properties" ma:root="true" ma:fieldsID="2e4742dae52b9380ce30919a94b26f0e" ns2:_="" ns3:_="">
    <xsd:import namespace="6b845243-c806-449b-a897-cb2235446891"/>
    <xsd:import namespace="34405467-d593-4576-a76a-737b9fab2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7bcb83e-f98b-4a78-8ea0-6033151a83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05467-d593-4576-a76a-737b9fab262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cdbc76-eb19-4af5-98f0-126a45c12fba}" ma:internalName="TaxCatchAll" ma:showField="CatchAllData" ma:web="34405467-d593-4576-a76a-737b9fab2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45243-c806-449b-a897-cb2235446891">
      <Terms xmlns="http://schemas.microsoft.com/office/infopath/2007/PartnerControls"/>
    </lcf76f155ced4ddcb4097134ff3c332f>
    <TaxCatchAll xmlns="34405467-d593-4576-a76a-737b9fab26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63792-D848-4DA8-B033-7BD7E8915F92}"/>
</file>

<file path=customXml/itemProps2.xml><?xml version="1.0" encoding="utf-8"?>
<ds:datastoreItem xmlns:ds="http://schemas.openxmlformats.org/officeDocument/2006/customXml" ds:itemID="{4FAC5067-7145-4F6E-BDAD-2A717FEC15BD}">
  <ds:schemaRefs>
    <ds:schemaRef ds:uri="http://schemas.microsoft.com/office/2006/metadata/properties"/>
    <ds:schemaRef ds:uri="http://schemas.microsoft.com/office/infopath/2007/PartnerControls"/>
    <ds:schemaRef ds:uri="6b845243-c806-449b-a897-cb2235446891"/>
    <ds:schemaRef ds:uri="34405467-d593-4576-a76a-737b9fab2626"/>
  </ds:schemaRefs>
</ds:datastoreItem>
</file>

<file path=customXml/itemProps3.xml><?xml version="1.0" encoding="utf-8"?>
<ds:datastoreItem xmlns:ds="http://schemas.openxmlformats.org/officeDocument/2006/customXml" ds:itemID="{50D126BB-0991-48D3-A193-1FD91237B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Mullins</dc:creator>
  <cp:keywords/>
  <dc:description/>
  <cp:lastModifiedBy>Tracy Dean</cp:lastModifiedBy>
  <cp:revision>18</cp:revision>
  <cp:lastPrinted>2023-07-21T11:43:00Z</cp:lastPrinted>
  <dcterms:created xsi:type="dcterms:W3CDTF">2023-07-21T11:20:00Z</dcterms:created>
  <dcterms:modified xsi:type="dcterms:W3CDTF">2023-10-24T08:39:00Z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MediaServiceImageTags">
    <vt:lpwstr/>
  </property>
</Properties>
</file>